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spacing w:before="0" w:after="0"/>
        <w:jc w:val="center"/>
      </w:pPr>
      <w:r>
        <w:t xml:space="preserve"> </w:t>
      </w:r>
      <w:r>
        <w:t xml:space="preserve"> </w:t>
      </w:r>
      <w:r>
        <w:rPr>
          <w:strike w:val="0"/>
          <w:u w:val="none"/>
        </w:rPr>
        <w:drawing>
          <wp:inline>
            <wp:extent cx="428625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jc w:val="center"/>
      </w:pPr>
      <w:r>
        <w:rPr>
          <w:b/>
          <w:bCs/>
        </w:rPr>
        <w:t>У К Р А Ї Н А</w:t>
      </w:r>
    </w:p>
    <w:p>
      <w:pPr>
        <w:spacing w:before="0" w:after="0"/>
        <w:jc w:val="center"/>
      </w:pPr>
      <w:r>
        <w:rPr>
          <w:b/>
          <w:bCs/>
        </w:rPr>
        <w:t>ЮЖНОУКРАЇНСЬКА МІСЬКА РАДА</w:t>
      </w:r>
    </w:p>
    <w:p>
      <w:pPr>
        <w:spacing w:before="0" w:after="0"/>
        <w:jc w:val="center"/>
      </w:pPr>
      <w:r>
        <w:rPr>
          <w:b/>
          <w:bCs/>
          <w:position w:val="2"/>
        </w:rPr>
        <w:t>МИКОЛАЇВСЬКОЇ ОБЛАСТІ</w:t>
      </w:r>
      <w:r>
        <w:rPr>
          <w:b/>
          <w:bCs/>
          <w:position w:val="2"/>
        </w:rPr>
        <w:t xml:space="preserve">  </w:t>
      </w:r>
    </w:p>
    <w:p>
      <w:pPr>
        <w:spacing w:before="0" w:after="0" w:line="192" w:lineRule="auto"/>
        <w:jc w:val="center"/>
        <w:rPr>
          <w:sz w:val="40"/>
          <w:szCs w:val="40"/>
        </w:rPr>
      </w:pPr>
      <w:r>
        <w:rPr>
          <w:b/>
          <w:bCs/>
          <w:position w:val="2"/>
          <w:sz w:val="40"/>
          <w:szCs w:val="40"/>
        </w:rPr>
        <w:t>Виконавчий комітет</w:t>
      </w:r>
    </w:p>
    <w:p>
      <w:pPr>
        <w:spacing w:before="0" w:after="0" w:line="400" w:lineRule="atLeast"/>
        <w:ind w:firstLine="57"/>
        <w:jc w:val="center"/>
      </w:pPr>
      <w:r>
        <w:rPr>
          <w:b/>
          <w:bCs/>
          <w:position w:val="2"/>
          <w:sz w:val="40"/>
          <w:szCs w:val="40"/>
        </w:rPr>
        <w:t>РІШЕННЯ</w:t>
      </w:r>
    </w:p>
    <w:p>
      <w:pPr>
        <w:pBdr>
          <w:top w:val="thinThickSmallGap" w:sz="24" w:space="1" w:color="000000"/>
        </w:pBdr>
        <w:spacing w:before="120" w:after="0" w:line="240" w:lineRule="atLeast"/>
        <w:ind w:firstLine="57"/>
        <w:rPr>
          <w:sz w:val="24"/>
          <w:szCs w:val="24"/>
        </w:rPr>
      </w:pPr>
      <w:r>
        <w:t>від «____» ________________ 2022 № 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4654" w:type="dxa"/>
            <w:tcMar>
              <w:top w:w="20" w:type="dxa"/>
              <w:left w:w="113" w:type="dxa"/>
              <w:bottom w:w="20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right="120"/>
            </w:pPr>
            <w:r>
              <w:t> </w:t>
            </w:r>
          </w:p>
          <w:p>
            <w:pPr>
              <w:spacing w:before="0" w:after="0"/>
              <w:ind w:right="33"/>
              <w:jc w:val="both"/>
            </w:pPr>
            <w:r>
              <w:t xml:space="preserve">Про розгляд та погодження річного плану </w:t>
            </w:r>
            <w:r>
              <w:t xml:space="preserve"> </w:t>
            </w:r>
            <w:r>
              <w:t>відокремленого підрозділу «Южно-Українська АЕС» державного підприємства «Національна атомна енергогенеруюча компанія «Енергоатом» на 2023 рік</w:t>
            </w:r>
          </w:p>
          <w:p>
            <w:pPr>
              <w:spacing w:before="0" w:after="0"/>
              <w:ind w:right="48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>
      <w:pPr>
        <w:spacing w:before="0" w:after="0"/>
        <w:ind w:right="23"/>
        <w:jc w:val="both"/>
      </w:pPr>
      <w:r>
        <w:t xml:space="preserve">         </w:t>
      </w:r>
    </w:p>
    <w:p>
      <w:pPr>
        <w:tabs>
          <w:tab w:val="left" w:pos="560"/>
        </w:tabs>
        <w:spacing w:before="0" w:after="0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Керуючись пп.2 п. «б» ст.27 Закону України «Про місцеве самоврядування в Україні», враховуючи наказ Міністерства регіонального розвитку, будівництва та житлово-комунального господарства України від 25.06.2014 №179,</w:t>
      </w:r>
      <w:r>
        <w:rPr>
          <w:shd w:val="clear" w:color="auto" w:fill="FFFFFF"/>
        </w:rPr>
        <w:t xml:space="preserve"> </w:t>
      </w:r>
      <w:r>
        <w:t>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 КТМ 204 України 244-94, затверджені наказом Держжитлокомунгоспу від 14.12.1993, розглянувши надані відокремленим підрозділом «Южно-Українська АЕС» державного підприємства «Національна атомна енергогенеруюча компанія «Енергоатом» (далі – ВП «Южно-Українська АЕС» ДП «НАЕК «Енергоатом») річні плани виробництва, транспортування та постачання теплової енергії на 2023 рік,</w:t>
      </w:r>
      <w:r>
        <w:t xml:space="preserve">  </w:t>
      </w:r>
      <w:r>
        <w:t>доповнення до річного плану виробництва, транспортування та постачання теплової енергії на 2023 рік, виконавчий комітет Южноукраїнської міської ради</w:t>
      </w:r>
    </w:p>
    <w:p>
      <w:pPr>
        <w:spacing w:before="0" w:after="0"/>
        <w:ind w:right="142"/>
        <w:jc w:val="center"/>
      </w:pPr>
      <w:r>
        <w:t> </w:t>
      </w:r>
    </w:p>
    <w:p>
      <w:pPr>
        <w:spacing w:before="0" w:after="0"/>
        <w:ind w:right="142"/>
        <w:jc w:val="center"/>
      </w:pPr>
      <w:r>
        <w:t>В И Р І Ш И В: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1. Розглянути та погодити річний план виробництва, транспортування та постачання теплової енергії на 2023 рік ВП «Южно-Українська АЕС» ДП «НАЕК «Енергоатом» (додаток 1).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2. Розглянути та погодити доповнення до річного плану виробництва,</w:t>
      </w:r>
      <w:r>
        <w:t xml:space="preserve">   </w:t>
      </w:r>
      <w:r>
        <w:t>транспортування та постачання теплової енергії на 2023 рік ВП «Южно-Українська АЕС» ДП «НАЕК «Енергоатом» (додаток 2).</w:t>
      </w:r>
    </w:p>
    <w:p>
      <w:pPr>
        <w:tabs>
          <w:tab w:val="left" w:pos="70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3. 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>
      <w:pPr>
        <w:spacing w:before="0" w:after="0"/>
        <w:jc w:val="both"/>
      </w:pPr>
      <w:r>
        <w:t> </w:t>
      </w:r>
    </w:p>
    <w:p>
      <w:pPr>
        <w:spacing w:before="0" w:after="0"/>
        <w:jc w:val="both"/>
      </w:pPr>
      <w:r>
        <w:t> </w:t>
      </w:r>
    </w:p>
    <w:p>
      <w:pPr>
        <w:spacing w:before="0" w:after="0"/>
        <w:jc w:val="both"/>
      </w:pPr>
      <w:r>
        <w:t>Міський голова</w:t>
      </w:r>
      <w:r>
        <w:t xml:space="preserve">                                          </w:t>
      </w:r>
      <w:r>
        <w:t xml:space="preserve">  </w:t>
      </w:r>
      <w:r>
        <w:t xml:space="preserve">                            </w:t>
      </w:r>
      <w:r>
        <w:t xml:space="preserve">Валерій ОНУФРІЄНКО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БОЖКО Володимир</w:t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5-68-57</w:t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 </w:t>
      </w:r>
    </w:p>
    <w:sectPr>
      <w:headerReference w:type="default" r:id="rId5"/>
      <w:pgMar w:header="720" w:footer="72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t> </w:t>
    </w:r>
  </w:p>
  <w:p>
    <w:pPr>
      <w:spacing w:before="0" w:after="0"/>
    </w:pPr>
    <w: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